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1"/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Seung Hwan Cho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4522470</wp:posOffset>
            </wp:positionH>
            <wp:positionV relativeFrom="paragraph">
              <wp:posOffset>503555</wp:posOffset>
            </wp:positionV>
            <wp:extent cx="1055370" cy="1360170"/>
            <wp:effectExtent b="0" l="0" r="0" t="0"/>
            <wp:wrapSquare wrapText="bothSides" distB="0" distT="0" distL="114300" distR="114300"/>
            <wp:docPr descr="인간의 얼굴, 사람, 의류, 실내이(가) 표시된 사진&#10;&#10;AI 생성 콘텐츠는 정확하지 않을 수 있습니다." id="379510321" name="image4.png"/>
            <a:graphic>
              <a:graphicData uri="http://schemas.openxmlformats.org/drawingml/2006/picture">
                <pic:pic>
                  <pic:nvPicPr>
                    <pic:cNvPr descr="인간의 얼굴, 사람, 의류, 실내이(가) 표시된 사진&#10;&#10;AI 생성 콘텐츠는 정확하지 않을 수 있습니다." id="0" name="image4.png"/>
                    <pic:cNvPicPr preferRelativeResize="0"/>
                  </pic:nvPicPr>
                  <pic:blipFill>
                    <a:blip r:embed="rId9"/>
                    <a:srcRect b="0" l="11143" r="1121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360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1"/>
        <w:spacing w:after="0" w:line="360" w:lineRule="auto"/>
        <w:ind w:lef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Professor</w:t>
      </w:r>
    </w:p>
    <w:p w:rsidR="00000000" w:rsidDel="00000000" w:rsidP="00000000" w:rsidRDefault="00000000" w:rsidRPr="00000000" w14:paraId="00000005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Chemistry, POSTECH, Pohang 37673, South Korea</w:t>
      </w:r>
    </w:p>
    <w:p w:rsidR="00000000" w:rsidDel="00000000" w:rsidP="00000000" w:rsidRDefault="00000000" w:rsidRPr="00000000" w14:paraId="00000006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seunghwan@postech.ac.kr</w:t>
      </w:r>
    </w:p>
    <w:p w:rsidR="00000000" w:rsidDel="00000000" w:rsidP="00000000" w:rsidRDefault="00000000" w:rsidRPr="00000000" w14:paraId="00000007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Homepage: http://chogroup.postech.ac.kr</w:t>
      </w:r>
    </w:p>
    <w:p w:rsidR="00000000" w:rsidDel="00000000" w:rsidP="00000000" w:rsidRDefault="00000000" w:rsidRPr="00000000" w14:paraId="00000008">
      <w:pPr>
        <w:widowControl w:val="1"/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Scientific Vita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276"/>
        </w:tabs>
        <w:spacing w:after="0" w:line="360" w:lineRule="auto"/>
        <w:ind w:left="1275" w:hanging="12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 2014</w:t>
        <w:tab/>
        <w:t xml:space="preserve">Assistant/Associate/Full Professor, Department of Chemistry, POSTECH</w:t>
      </w:r>
    </w:p>
    <w:p w:rsidR="00000000" w:rsidDel="00000000" w:rsidP="00000000" w:rsidRDefault="00000000" w:rsidRPr="00000000" w14:paraId="0000000B">
      <w:pPr>
        <w:tabs>
          <w:tab w:val="left" w:leader="none" w:pos="1276"/>
        </w:tabs>
        <w:spacing w:after="0" w:line="360" w:lineRule="auto"/>
        <w:ind w:left="1275" w:hanging="12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2012-2014</w:t>
        <w:tab/>
        <w:t xml:space="preserve">Postdoctoral Fellow, UC Berkeley, USA</w:t>
      </w:r>
    </w:p>
    <w:p w:rsidR="00000000" w:rsidDel="00000000" w:rsidP="00000000" w:rsidRDefault="00000000" w:rsidRPr="00000000" w14:paraId="0000000C">
      <w:pPr>
        <w:tabs>
          <w:tab w:val="left" w:leader="none" w:pos="1276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</w:t>
        <w:tab/>
        <w:t xml:space="preserve">PhD, KAIST, South Korea</w:t>
      </w:r>
    </w:p>
    <w:p w:rsidR="00000000" w:rsidDel="00000000" w:rsidP="00000000" w:rsidRDefault="00000000" w:rsidRPr="00000000" w14:paraId="0000000D">
      <w:pPr>
        <w:tabs>
          <w:tab w:val="left" w:leader="none" w:pos="1276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2006</w:t>
        <w:tab/>
        <w:t xml:space="preserve">BS, KAIST, South Korea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276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Research Interests</w:t>
      </w:r>
    </w:p>
    <w:p w:rsidR="00000000" w:rsidDel="00000000" w:rsidP="00000000" w:rsidRDefault="00000000" w:rsidRPr="00000000" w14:paraId="00000010">
      <w:pPr>
        <w:tabs>
          <w:tab w:val="left" w:leader="none" w:pos="1276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Transition-metal-free reaction</w:t>
      </w:r>
    </w:p>
    <w:p w:rsidR="00000000" w:rsidDel="00000000" w:rsidP="00000000" w:rsidRDefault="00000000" w:rsidRPr="00000000" w14:paraId="00000011">
      <w:pPr>
        <w:tabs>
          <w:tab w:val="left" w:leader="none" w:pos="1276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Stereoselective chemical synthesis </w:t>
      </w:r>
    </w:p>
    <w:p w:rsidR="00000000" w:rsidDel="00000000" w:rsidP="00000000" w:rsidRDefault="00000000" w:rsidRPr="00000000" w14:paraId="00000012">
      <w:pPr>
        <w:tabs>
          <w:tab w:val="left" w:leader="none" w:pos="1276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Organometallic chemistry</w:t>
      </w:r>
    </w:p>
    <w:p w:rsidR="00000000" w:rsidDel="00000000" w:rsidP="00000000" w:rsidRDefault="00000000" w:rsidRPr="00000000" w14:paraId="00000013">
      <w:pPr>
        <w:tabs>
          <w:tab w:val="left" w:leader="none" w:pos="1276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0" w:line="36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Representative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360" w:lineRule="auto"/>
        <w:ind w:left="420" w:hanging="420"/>
        <w:jc w:val="both"/>
        <w:rPr>
          <w:rFonts w:ascii="Times New Roman" w:cs="Times New Roman" w:eastAsia="Times New Roman" w:hAnsi="Times New Roman"/>
        </w:rPr>
      </w:pPr>
      <w:bookmarkStart w:colFirst="0" w:colLast="0" w:name="_heading=h.vsem5w3p6u2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Han, S.; Lee, Y.; Seo, J.; Lee, J.; Cho, S. H. [1,3]-Hydride Shift in α-Boryl Cations: Strategic Design of Fluorine-triggered Cyclopropanation.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J. Am. Chem. Soc.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147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25910.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360" w:lineRule="auto"/>
        <w:ind w:left="420" w:hanging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Jo, W.; Thangsrikeattigun, C.; Ryu, C.; Han, S.; Oh, C.; Baik, M.-H.; Cho, S. H. Regiodivergent Alkylation of Pyridines: Alkyllithium Clusters Direct Chemical Reactivity.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J. Am. Chem. Soc.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147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8597.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spacing w:after="0" w:line="360" w:lineRule="auto"/>
        <w:ind w:left="420" w:hanging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Kim, M.; Kim, G.; Kim, D.; Cho, S. H. Copper-Catalyzed Regio-, Diastereo- and Enantioselective Allylic Alkylation with 1,1-Diborylalkanes.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J. Am. Chem. Soc.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146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34861.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spacing w:after="0" w:line="360" w:lineRule="auto"/>
        <w:ind w:left="420" w:hanging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Jin, Y.; Lee, J.; Jo, W.; Yu, J.; Cho, S. H. Axially Chiral α-Boryl-Homoallenyl Boronic Esters as Versatile Toolbox for Accessing Centrally and Axially Chiral Molecules.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Nat. Commun.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9239.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360" w:lineRule="auto"/>
        <w:ind w:left="420" w:hanging="4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Jung, Y.; Yoo, S. Y.; Jin, Y.; Yu, J.; Han, S.; Yu, J.; Park, Y.; Cho, S. H. Iridium-Catalyzed Chemo-, Diastereo-, and Enantioselective Allyl–Allyl Coupling: Accessing All Four Stereoisomers of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)-1-Boryl-Substituted 1,5-Dienes by Chirality Pairing.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Angew. Chem. Int. Ed.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143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e202218794.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1,1-Diborylalkanes: Versatile Reagents for Selective Bond Formation</w:t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Seung Hwan Cho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Department of Chemistry, POSTECH, Pohang 37673, South Korea </w:t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seunghwan@postech.ac.kr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Chemo- and stereoselective transformations of polyborylalkanes provide efficient access to optically active molecules of greater complexity and diversity through programmed synthetic design.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Among them,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-diboryl compounds have emerged as particularly versatile synthetic handles. Their unique advantage lies in the ability to generate two distinct intermediates, α-borylalkyl anions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-diborylalkyl anions, which can engage in diverse transformations to rapidly deliver a wide range of organoboron compounds. These intermediates, in turn, serve as gateways to synthetically valuable molecules. In this presentation, I will highlight our recent efforts in designing and synthesizing new gem-diboryl compounds and applying them to highly chemo- and stereoselective transformations.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ind w:firstLine="2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pict>
          <v:shape id="_x0000_i1025" style="width:221.95pt;height:147.15pt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24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Scheme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Selective bond forming reactions using 1,1-diborylalkanes</w:t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Lee, Y.; Han, S.; Cho, S. H.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Acc. Chem. Res.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54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3917.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Han, S.; Lee, Y.; Seo, J.; Lee, J.; Cho, S. H.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J. Am. Chem. Soc.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147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25910.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Jo, W.; Thangsrikeattigun, C.; Ryu, C.; Han, S.; Oh, C.; Baik, M.-H.; Cho, S. H.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J. Am. Chem. Soc.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147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8597.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Kim, M.; Kim, G.; Kim, D.; Cho, S. H.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J. Am. Chem. Soc.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146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34861.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left"/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53125" cy="228235"/>
              <wp:effectExtent b="0" l="0" r="0" t="0"/>
              <wp:wrapNone/>
              <wp:docPr id="37951032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374200" y="3694593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134f5c"/>
                              <w:sz w:val="28"/>
                              <w:vertAlign w:val="baseline"/>
                            </w:rPr>
                            <w:t xml:space="preserve">OM&amp;CAT-7</w:t>
                          </w: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53125" cy="228235"/>
              <wp:effectExtent b="0" l="0" r="0" t="0"/>
              <wp:wrapNone/>
              <wp:docPr id="37951032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228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Malgun Gothic" w:cs="Malgun Gothic" w:eastAsia="Malgun Gothic" w:hAnsi="Malgun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23925" cy="188556"/>
              <wp:effectExtent b="0" l="0" r="0" t="0"/>
              <wp:wrapNone/>
              <wp:docPr id="3795103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694593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0C343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23925" cy="188556"/>
              <wp:effectExtent b="0" l="0" r="0" t="0"/>
              <wp:wrapNone/>
              <wp:docPr id="3795103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885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/>
    </w:lvl>
    <w:lvl w:ilvl="2">
      <w:start w:val="1"/>
      <w:numFmt w:val="decimal"/>
      <w:lvlText w:val="%3"/>
      <w:lvlJc w:val="lef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(%5)"/>
      <w:lvlJc w:val="left"/>
      <w:pPr>
        <w:ind w:left="2400" w:hanging="480"/>
      </w:pPr>
      <w:rPr/>
    </w:lvl>
    <w:lvl w:ilvl="5">
      <w:start w:val="1"/>
      <w:numFmt w:val="decimal"/>
      <w:lvlText w:val="%6"/>
      <w:lvlJc w:val="lef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(%8)"/>
      <w:lvlJc w:val="left"/>
      <w:pPr>
        <w:ind w:left="3840" w:hanging="480"/>
      </w:pPr>
      <w:rPr/>
    </w:lvl>
    <w:lvl w:ilvl="8">
      <w:start w:val="1"/>
      <w:numFmt w:val="decimal"/>
      <w:lvlText w:val="%9"/>
      <w:lvlJc w:val="lef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lowerLetter"/>
      <w:lvlText w:val="%2)"/>
      <w:lvlJc w:val="left"/>
      <w:pPr>
        <w:ind w:left="840" w:hanging="420"/>
      </w:pPr>
      <w:rPr/>
    </w:lvl>
    <w:lvl w:ilvl="2">
      <w:start w:val="1"/>
      <w:numFmt w:val="lowerRoman"/>
      <w:lvlText w:val="%3."/>
      <w:lvlJc w:val="righ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lowerLetter"/>
      <w:lvlText w:val="%5)"/>
      <w:lvlJc w:val="left"/>
      <w:pPr>
        <w:ind w:left="2100" w:hanging="420"/>
      </w:pPr>
      <w:rPr/>
    </w:lvl>
    <w:lvl w:ilvl="5">
      <w:start w:val="1"/>
      <w:numFmt w:val="lowerRoman"/>
      <w:lvlText w:val="%6."/>
      <w:lvlJc w:val="righ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lowerLetter"/>
      <w:lvlText w:val="%8)"/>
      <w:lvlJc w:val="left"/>
      <w:pPr>
        <w:ind w:left="3360" w:hanging="420"/>
      </w:pPr>
      <w:rPr/>
    </w:lvl>
    <w:lvl w:ilvl="8">
      <w:start w:val="1"/>
      <w:numFmt w:val="lowerRoman"/>
      <w:lvlText w:val="%9."/>
      <w:lvlJc w:val="right"/>
      <w:pPr>
        <w:ind w:left="3780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sz w:val="22"/>
        <w:szCs w:val="22"/>
        <w:lang w:val="en"/>
      </w:rPr>
    </w:rPrDefault>
    <w:pPrDefault>
      <w:pPr>
        <w:widowControl w:val="0"/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Malgun Gothic" w:cs="Malgun Gothic" w:eastAsia="Malgun Gothic" w:hAnsi="Malgun Gothic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Malgun Gothic" w:cs="Malgun Gothic" w:eastAsia="Malgun Gothic" w:hAnsi="Malgun Gothic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Malgun Gothic" w:cs="Malgun Gothic" w:eastAsia="Malgun Gothic" w:hAnsi="Malgun Gothic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Malgun Gothic" w:cs="Malgun Gothic" w:eastAsia="Malgun Gothic" w:hAnsi="Malgun Gothic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Malgun Gothic" w:cs="Malgun Gothic" w:eastAsia="Malgun Gothic" w:hAnsi="Malgun Gothic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83097C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83097C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83097C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제목 1 Char"/>
    <w:basedOn w:val="a0"/>
    <w:link w:val="1"/>
    <w:uiPriority w:val="9"/>
    <w:rsid w:val="0083097C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Char" w:customStyle="1">
    <w:name w:val="제목 2 Char"/>
    <w:basedOn w:val="a0"/>
    <w:link w:val="2"/>
    <w:uiPriority w:val="9"/>
    <w:semiHidden w:val="1"/>
    <w:rsid w:val="0083097C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Char" w:customStyle="1">
    <w:name w:val="제목 3 Char"/>
    <w:basedOn w:val="a0"/>
    <w:link w:val="3"/>
    <w:uiPriority w:val="9"/>
    <w:semiHidden w:val="1"/>
    <w:rsid w:val="0083097C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Char" w:customStyle="1">
    <w:name w:val="제목 4 Char"/>
    <w:basedOn w:val="a0"/>
    <w:link w:val="4"/>
    <w:uiPriority w:val="9"/>
    <w:semiHidden w:val="1"/>
    <w:rsid w:val="0083097C"/>
    <w:rPr>
      <w:rFonts w:asciiTheme="majorHAnsi" w:cstheme="majorBidi" w:eastAsiaTheme="majorEastAsia" w:hAnsiTheme="majorHAnsi"/>
      <w:color w:val="000000" w:themeColor="text1"/>
    </w:rPr>
  </w:style>
  <w:style w:type="character" w:styleId="5Char" w:customStyle="1">
    <w:name w:val="제목 5 Char"/>
    <w:basedOn w:val="a0"/>
    <w:link w:val="5"/>
    <w:uiPriority w:val="9"/>
    <w:semiHidden w:val="1"/>
    <w:rsid w:val="0083097C"/>
    <w:rPr>
      <w:rFonts w:asciiTheme="majorHAnsi" w:cstheme="majorBidi" w:eastAsiaTheme="majorEastAsia" w:hAnsiTheme="majorHAnsi"/>
      <w:color w:val="000000" w:themeColor="text1"/>
    </w:rPr>
  </w:style>
  <w:style w:type="character" w:styleId="6Char" w:customStyle="1">
    <w:name w:val="제목 6 Char"/>
    <w:basedOn w:val="a0"/>
    <w:link w:val="6"/>
    <w:uiPriority w:val="9"/>
    <w:semiHidden w:val="1"/>
    <w:rsid w:val="0083097C"/>
    <w:rPr>
      <w:rFonts w:asciiTheme="majorHAnsi" w:cstheme="majorBidi" w:eastAsiaTheme="majorEastAsia" w:hAnsiTheme="majorHAnsi"/>
      <w:color w:val="000000" w:themeColor="text1"/>
    </w:rPr>
  </w:style>
  <w:style w:type="character" w:styleId="7Char" w:customStyle="1">
    <w:name w:val="제목 7 Char"/>
    <w:basedOn w:val="a0"/>
    <w:link w:val="7"/>
    <w:uiPriority w:val="9"/>
    <w:semiHidden w:val="1"/>
    <w:rsid w:val="0083097C"/>
    <w:rPr>
      <w:rFonts w:asciiTheme="majorHAnsi" w:cstheme="majorBidi" w:eastAsiaTheme="majorEastAsia" w:hAnsiTheme="majorHAnsi"/>
      <w:color w:val="000000" w:themeColor="text1"/>
    </w:rPr>
  </w:style>
  <w:style w:type="character" w:styleId="8Char" w:customStyle="1">
    <w:name w:val="제목 8 Char"/>
    <w:basedOn w:val="a0"/>
    <w:link w:val="8"/>
    <w:uiPriority w:val="9"/>
    <w:semiHidden w:val="1"/>
    <w:rsid w:val="0083097C"/>
    <w:rPr>
      <w:rFonts w:asciiTheme="majorHAnsi" w:cstheme="majorBidi" w:eastAsiaTheme="majorEastAsia" w:hAnsiTheme="majorHAnsi"/>
      <w:color w:val="000000" w:themeColor="text1"/>
    </w:rPr>
  </w:style>
  <w:style w:type="character" w:styleId="9Char" w:customStyle="1">
    <w:name w:val="제목 9 Char"/>
    <w:basedOn w:val="a0"/>
    <w:link w:val="9"/>
    <w:uiPriority w:val="9"/>
    <w:semiHidden w:val="1"/>
    <w:rsid w:val="0083097C"/>
    <w:rPr>
      <w:rFonts w:asciiTheme="majorHAnsi" w:cstheme="majorBidi" w:eastAsiaTheme="majorEastAsia" w:hAnsiTheme="majorHAnsi"/>
      <w:color w:val="000000" w:themeColor="text1"/>
    </w:rPr>
  </w:style>
  <w:style w:type="character" w:styleId="Char" w:customStyle="1">
    <w:name w:val="제목 Char"/>
    <w:basedOn w:val="a0"/>
    <w:link w:val="a3"/>
    <w:uiPriority w:val="10"/>
    <w:rsid w:val="008309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부제 Char"/>
    <w:basedOn w:val="a0"/>
    <w:link w:val="a4"/>
    <w:uiPriority w:val="11"/>
    <w:rsid w:val="0083097C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8309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인용 Char"/>
    <w:basedOn w:val="a0"/>
    <w:link w:val="a5"/>
    <w:uiPriority w:val="29"/>
    <w:rsid w:val="0083097C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83097C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83097C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83097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강한 인용 Char"/>
    <w:basedOn w:val="a0"/>
    <w:link w:val="a8"/>
    <w:uiPriority w:val="30"/>
    <w:rsid w:val="0083097C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83097C"/>
    <w:rPr>
      <w:b w:val="1"/>
      <w:bCs w:val="1"/>
      <w:smallCaps w:val="1"/>
      <w:color w:val="0f4761" w:themeColor="accent1" w:themeShade="0000BF"/>
      <w:spacing w:val="5"/>
    </w:rPr>
  </w:style>
  <w:style w:type="paragraph" w:styleId="aa">
    <w:name w:val="Normal (Web)"/>
    <w:basedOn w:val="a"/>
    <w:uiPriority w:val="99"/>
    <w:semiHidden w:val="1"/>
    <w:unhideWhenUsed w:val="1"/>
    <w:rsid w:val="00375E20"/>
    <w:rPr>
      <w:rFonts w:ascii="Times New Roman" w:cs="Times New Roman" w:hAnsi="Times New Roman"/>
      <w:sz w:val="24"/>
    </w:rPr>
  </w:style>
  <w:style w:type="paragraph" w:styleId="ab">
    <w:name w:val="header"/>
    <w:basedOn w:val="a"/>
    <w:link w:val="Char3"/>
    <w:uiPriority w:val="99"/>
    <w:unhideWhenUsed w:val="1"/>
    <w:rsid w:val="00B654A9"/>
    <w:pPr>
      <w:tabs>
        <w:tab w:val="center" w:pos="4513"/>
        <w:tab w:val="right" w:pos="9026"/>
      </w:tabs>
      <w:snapToGrid w:val="0"/>
    </w:pPr>
  </w:style>
  <w:style w:type="character" w:styleId="Char3" w:customStyle="1">
    <w:name w:val="머리글 Char"/>
    <w:basedOn w:val="a0"/>
    <w:link w:val="ab"/>
    <w:uiPriority w:val="99"/>
    <w:rsid w:val="00B654A9"/>
  </w:style>
  <w:style w:type="paragraph" w:styleId="ac">
    <w:name w:val="footer"/>
    <w:basedOn w:val="a"/>
    <w:link w:val="Char4"/>
    <w:uiPriority w:val="99"/>
    <w:unhideWhenUsed w:val="1"/>
    <w:rsid w:val="00B654A9"/>
    <w:pPr>
      <w:tabs>
        <w:tab w:val="center" w:pos="4513"/>
        <w:tab w:val="right" w:pos="9026"/>
      </w:tabs>
      <w:snapToGrid w:val="0"/>
    </w:pPr>
  </w:style>
  <w:style w:type="character" w:styleId="Char4" w:customStyle="1">
    <w:name w:val="바닥글 Char"/>
    <w:basedOn w:val="a0"/>
    <w:link w:val="ac"/>
    <w:uiPriority w:val="99"/>
    <w:rsid w:val="00B654A9"/>
  </w:style>
  <w:style w:type="paragraph" w:styleId="Subtitle">
    <w:name w:val="Subtitle"/>
    <w:basedOn w:val="Normal"/>
    <w:next w:val="Normal"/>
    <w:pPr>
      <w:jc w:val="center"/>
    </w:pPr>
    <w:rPr>
      <w:rFonts w:ascii="Malgun Gothic" w:cs="Malgun Gothic" w:eastAsia="Malgun Gothic" w:hAnsi="Malgun Gothic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http://chogroup.postech.ac.kr/wp-content/uploads/2021/09/27-TOC-1024x679.jpeg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j4guSmQN+QhmKMgu6IMJi5SEA==">CgMxLjAyDmgudnNlbTV3M3A2dTJlOAByITE5T3ZHRTVqc1ktUEV4SUNTWUpIOVlkcWEyQWdXcHVHOQ==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2025-09-26T05:14:00Z</dcterms:created>
  <dc:creator>Eun Jin Cho</dc:creator>
</cp:coreProperties>
</file>